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43C3" w14:textId="23C35467" w:rsidR="00B84DA8" w:rsidRDefault="0067667A" w:rsidP="00081341">
      <w:pPr>
        <w:pStyle w:val="1"/>
        <w:spacing w:before="0"/>
        <w:jc w:val="center"/>
        <w:rPr>
          <w:rStyle w:val="m7eme"/>
          <w:b/>
          <w:bCs/>
          <w:color w:val="202124"/>
          <w:shd w:val="clear" w:color="auto" w:fill="FFFFFF"/>
        </w:rPr>
      </w:pPr>
      <w:r w:rsidRPr="00652AD2">
        <w:rPr>
          <w:rStyle w:val="m7eme"/>
          <w:b/>
          <w:bCs/>
          <w:color w:val="202124"/>
          <w:shd w:val="clear" w:color="auto" w:fill="FFFFFF"/>
        </w:rPr>
        <w:t>Програма розвитку</w:t>
      </w:r>
    </w:p>
    <w:p w14:paraId="12851352" w14:textId="77777777" w:rsidR="00081341" w:rsidRDefault="0067667A" w:rsidP="00081341">
      <w:pPr>
        <w:pStyle w:val="1"/>
        <w:spacing w:before="0"/>
        <w:jc w:val="center"/>
        <w:rPr>
          <w:b/>
          <w:bCs/>
          <w:color w:val="202124"/>
          <w:szCs w:val="22"/>
          <w:shd w:val="clear" w:color="auto" w:fill="FFFFFF"/>
        </w:rPr>
      </w:pPr>
      <w:r w:rsidRPr="00652AD2">
        <w:rPr>
          <w:rStyle w:val="m7eme"/>
          <w:b/>
          <w:bCs/>
          <w:color w:val="202124"/>
          <w:shd w:val="clear" w:color="auto" w:fill="FFFFFF"/>
        </w:rPr>
        <w:t xml:space="preserve">Комітету </w:t>
      </w:r>
      <w:r w:rsidRPr="00652AD2">
        <w:rPr>
          <w:b/>
          <w:bCs/>
          <w:color w:val="202124"/>
          <w:szCs w:val="22"/>
          <w:shd w:val="clear" w:color="auto" w:fill="FFFFFF"/>
        </w:rPr>
        <w:t xml:space="preserve">з кримінального та кримінально-процесуального права </w:t>
      </w:r>
    </w:p>
    <w:p w14:paraId="63E27BC9" w14:textId="34B22B81" w:rsidR="00975EB2" w:rsidRPr="00652AD2" w:rsidRDefault="0067667A" w:rsidP="00081341">
      <w:pPr>
        <w:pStyle w:val="1"/>
        <w:spacing w:before="0"/>
        <w:jc w:val="center"/>
        <w:rPr>
          <w:rStyle w:val="m7eme"/>
          <w:b/>
          <w:bCs/>
          <w:color w:val="202124"/>
          <w:shd w:val="clear" w:color="auto" w:fill="FFFFFF"/>
        </w:rPr>
      </w:pPr>
      <w:r w:rsidRPr="00652AD2">
        <w:rPr>
          <w:b/>
          <w:bCs/>
          <w:color w:val="202124"/>
          <w:szCs w:val="22"/>
          <w:shd w:val="clear" w:color="auto" w:fill="FFFFFF"/>
        </w:rPr>
        <w:t xml:space="preserve">на </w:t>
      </w:r>
      <w:r w:rsidRPr="00652AD2">
        <w:rPr>
          <w:rStyle w:val="m7eme"/>
          <w:b/>
          <w:bCs/>
          <w:color w:val="202124"/>
          <w:shd w:val="clear" w:color="auto" w:fill="FFFFFF"/>
        </w:rPr>
        <w:t>202</w:t>
      </w:r>
      <w:r w:rsidR="00FA7AFB">
        <w:rPr>
          <w:rStyle w:val="m7eme"/>
          <w:b/>
          <w:bCs/>
          <w:color w:val="202124"/>
          <w:shd w:val="clear" w:color="auto" w:fill="FFFFFF"/>
          <w:lang w:val="en-US"/>
        </w:rPr>
        <w:t>6</w:t>
      </w:r>
      <w:r w:rsidRPr="00652AD2">
        <w:rPr>
          <w:rStyle w:val="m7eme"/>
          <w:b/>
          <w:bCs/>
          <w:color w:val="202124"/>
          <w:shd w:val="clear" w:color="auto" w:fill="FFFFFF"/>
        </w:rPr>
        <w:t>-202</w:t>
      </w:r>
      <w:r w:rsidR="00FA7AFB">
        <w:rPr>
          <w:rStyle w:val="m7eme"/>
          <w:b/>
          <w:bCs/>
          <w:color w:val="202124"/>
          <w:shd w:val="clear" w:color="auto" w:fill="FFFFFF"/>
          <w:lang w:val="en-US"/>
        </w:rPr>
        <w:t>7</w:t>
      </w:r>
      <w:r w:rsidR="00081341">
        <w:rPr>
          <w:rStyle w:val="m7eme"/>
          <w:b/>
          <w:bCs/>
          <w:color w:val="202124"/>
          <w:shd w:val="clear" w:color="auto" w:fill="FFFFFF"/>
        </w:rPr>
        <w:t> </w:t>
      </w:r>
      <w:r w:rsidRPr="00652AD2">
        <w:rPr>
          <w:rStyle w:val="m7eme"/>
          <w:b/>
          <w:bCs/>
          <w:color w:val="202124"/>
          <w:shd w:val="clear" w:color="auto" w:fill="FFFFFF"/>
        </w:rPr>
        <w:t>рр.</w:t>
      </w:r>
    </w:p>
    <w:p w14:paraId="24164C00" w14:textId="300562DB" w:rsidR="0067667A" w:rsidRPr="00652AD2" w:rsidRDefault="0067667A" w:rsidP="00081341">
      <w:pPr>
        <w:spacing w:before="0"/>
        <w:jc w:val="center"/>
      </w:pPr>
      <w:r w:rsidRPr="00652AD2">
        <w:rPr>
          <w:b/>
          <w:bCs/>
        </w:rPr>
        <w:t>Сергія Бойка (кандидата на посаду члена Ради Комітету)</w:t>
      </w:r>
    </w:p>
    <w:p w14:paraId="6988958C" w14:textId="77777777" w:rsidR="0067667A" w:rsidRPr="00652AD2" w:rsidRDefault="0067667A" w:rsidP="00652AD2">
      <w:pPr>
        <w:jc w:val="both"/>
      </w:pPr>
    </w:p>
    <w:p w14:paraId="09F275C3" w14:textId="77777777" w:rsidR="00FA7AFB" w:rsidRDefault="00FA7AFB" w:rsidP="00FA7AFB">
      <w:pPr>
        <w:spacing w:before="0"/>
        <w:jc w:val="both"/>
      </w:pPr>
      <w:r w:rsidRPr="00FA7AFB">
        <w:t>Шановні колеги,</w:t>
      </w:r>
    </w:p>
    <w:p w14:paraId="11C1DA27" w14:textId="77777777" w:rsidR="00FA7AFB" w:rsidRPr="00FA7AFB" w:rsidRDefault="00FA7AFB" w:rsidP="00FA7AFB">
      <w:pPr>
        <w:spacing w:before="0"/>
        <w:jc w:val="both"/>
      </w:pPr>
    </w:p>
    <w:p w14:paraId="359C7662" w14:textId="77777777" w:rsidR="00FA7AFB" w:rsidRDefault="00FA7AFB" w:rsidP="00FA7AFB">
      <w:pPr>
        <w:spacing w:before="0"/>
        <w:jc w:val="both"/>
      </w:pPr>
      <w:r w:rsidRPr="00FA7AFB">
        <w:t>Висуваю свою кандидатуру на посаду члена Ради Комітету з кримінального та кримінально-процесуального права АПУ.</w:t>
      </w:r>
    </w:p>
    <w:p w14:paraId="65C15F16" w14:textId="77777777" w:rsidR="00FA7AFB" w:rsidRPr="00FA7AFB" w:rsidRDefault="00FA7AFB" w:rsidP="00FA7AFB">
      <w:pPr>
        <w:spacing w:before="0"/>
        <w:jc w:val="both"/>
      </w:pPr>
    </w:p>
    <w:p w14:paraId="4E765E73" w14:textId="46312384" w:rsidR="00FA7AFB" w:rsidRDefault="00FA7AFB" w:rsidP="00FA7AFB">
      <w:pPr>
        <w:spacing w:before="0"/>
        <w:jc w:val="both"/>
      </w:pPr>
      <w:r w:rsidRPr="00FA7AFB">
        <w:t xml:space="preserve">Переконаний, що Комітет має перетворитися на </w:t>
      </w:r>
      <w:r w:rsidRPr="00FA7AFB">
        <w:rPr>
          <w:b/>
          <w:bCs/>
        </w:rPr>
        <w:t>ключовий професійний центр формування позицій юридичної спільноти</w:t>
      </w:r>
      <w:r w:rsidRPr="00FA7AFB">
        <w:t xml:space="preserve"> щодо найгостріших питань кримінального права, процесу та правозастосування. Це має бути платформа, де народжуються зміни –</w:t>
      </w:r>
      <w:r w:rsidR="00547A33">
        <w:t xml:space="preserve"> </w:t>
      </w:r>
      <w:r w:rsidRPr="00FA7AFB">
        <w:t>не лише в дискусії, а й у конкретних рекомендаціях, стандартах та інструментах для практикуючих юристів.</w:t>
      </w:r>
    </w:p>
    <w:p w14:paraId="62757766" w14:textId="77777777" w:rsidR="00FA7AFB" w:rsidRPr="00FA7AFB" w:rsidRDefault="00FA7AFB" w:rsidP="00FA7AFB">
      <w:pPr>
        <w:spacing w:before="0"/>
        <w:jc w:val="both"/>
      </w:pPr>
    </w:p>
    <w:p w14:paraId="2E123B3E" w14:textId="3F44BA9F" w:rsidR="00FA7AFB" w:rsidRPr="00FA7AFB" w:rsidRDefault="00FA7AFB" w:rsidP="00FA7AFB">
      <w:pPr>
        <w:spacing w:before="0"/>
        <w:jc w:val="both"/>
      </w:pPr>
      <w:r w:rsidRPr="00FA7AFB">
        <w:t xml:space="preserve">Свою мотивацію базую на багаторічному практичному досвіді у сфері кримінальної юстиції, який здобуваю з 2012 року. Робота над складними кримінальними провадженнями, захист бізнесу, супровід процесів у взаємодії з правоохоронними органами, а також моє прагнення змінювати систему дозволяють мені запропонувати </w:t>
      </w:r>
      <w:r w:rsidRPr="00FA7AFB">
        <w:rPr>
          <w:b/>
          <w:bCs/>
        </w:rPr>
        <w:t xml:space="preserve">прагматичний, сучасний та результативний </w:t>
      </w:r>
      <w:r>
        <w:rPr>
          <w:b/>
          <w:bCs/>
        </w:rPr>
        <w:t>курс</w:t>
      </w:r>
      <w:r w:rsidRPr="00FA7AFB">
        <w:rPr>
          <w:b/>
          <w:bCs/>
        </w:rPr>
        <w:t xml:space="preserve"> розвитку Комітету</w:t>
      </w:r>
      <w:r w:rsidRPr="00FA7AFB">
        <w:t>.</w:t>
      </w:r>
    </w:p>
    <w:p w14:paraId="00DDAD03" w14:textId="77777777" w:rsidR="00FA7AFB" w:rsidRDefault="00FA7AFB" w:rsidP="00652AD2">
      <w:pPr>
        <w:jc w:val="both"/>
      </w:pPr>
    </w:p>
    <w:p w14:paraId="71ED8756" w14:textId="0D657144" w:rsidR="00FA7AFB" w:rsidRDefault="00FA7AFB" w:rsidP="00652AD2">
      <w:pPr>
        <w:jc w:val="both"/>
      </w:pPr>
      <w:r w:rsidRPr="00FA7AFB">
        <w:t>Пропоновані напрями розвитку Комітету:</w:t>
      </w:r>
    </w:p>
    <w:p w14:paraId="7A482D4B" w14:textId="3B590A44" w:rsidR="00594F8E" w:rsidRPr="00594F8E" w:rsidRDefault="00594F8E" w:rsidP="00594F8E">
      <w:pPr>
        <w:pStyle w:val="a4"/>
        <w:numPr>
          <w:ilvl w:val="0"/>
          <w:numId w:val="5"/>
        </w:numPr>
        <w:jc w:val="both"/>
        <w:rPr>
          <w:b/>
          <w:bCs/>
        </w:rPr>
      </w:pPr>
      <w:r w:rsidRPr="00594F8E">
        <w:rPr>
          <w:b/>
          <w:bCs/>
        </w:rPr>
        <w:t>Участь Комітету у нормотворчій діяльності</w:t>
      </w:r>
    </w:p>
    <w:p w14:paraId="3DFE8DC2" w14:textId="77777777" w:rsidR="00594F8E" w:rsidRPr="00594F8E" w:rsidRDefault="00594F8E" w:rsidP="00594F8E">
      <w:pPr>
        <w:ind w:left="708"/>
        <w:jc w:val="both"/>
      </w:pPr>
      <w:r w:rsidRPr="00594F8E">
        <w:t>Комітет має відігравати активну роль у формуванні кримінальної політики держави. Для цього пропоную:</w:t>
      </w:r>
    </w:p>
    <w:p w14:paraId="69911A86" w14:textId="77777777" w:rsidR="00594F8E" w:rsidRPr="00594F8E" w:rsidRDefault="00594F8E" w:rsidP="00594F8E">
      <w:pPr>
        <w:numPr>
          <w:ilvl w:val="0"/>
          <w:numId w:val="4"/>
        </w:numPr>
        <w:jc w:val="both"/>
      </w:pPr>
      <w:r w:rsidRPr="00594F8E">
        <w:t xml:space="preserve">Системно залучати членів Комітету до аналізу </w:t>
      </w:r>
      <w:proofErr w:type="spellStart"/>
      <w:r w:rsidRPr="00594F8E">
        <w:t>законопроєктів</w:t>
      </w:r>
      <w:proofErr w:type="spellEnd"/>
      <w:r w:rsidRPr="00594F8E">
        <w:t>, підготовки висновків та експертних рекомендацій.</w:t>
      </w:r>
    </w:p>
    <w:p w14:paraId="7EB378B8" w14:textId="77777777" w:rsidR="00594F8E" w:rsidRPr="00594F8E" w:rsidRDefault="00594F8E" w:rsidP="00594F8E">
      <w:pPr>
        <w:numPr>
          <w:ilvl w:val="0"/>
          <w:numId w:val="4"/>
        </w:numPr>
        <w:jc w:val="both"/>
      </w:pPr>
      <w:r w:rsidRPr="00594F8E">
        <w:t>Організовувати професійні обговорення положень законодавства, залучаючи представників органів влади, науковців та міжнародних експертів.</w:t>
      </w:r>
    </w:p>
    <w:p w14:paraId="462B1637" w14:textId="77777777" w:rsidR="00594F8E" w:rsidRPr="00594F8E" w:rsidRDefault="00594F8E" w:rsidP="00594F8E">
      <w:pPr>
        <w:numPr>
          <w:ilvl w:val="0"/>
          <w:numId w:val="4"/>
        </w:numPr>
        <w:jc w:val="both"/>
      </w:pPr>
      <w:r w:rsidRPr="00594F8E">
        <w:t xml:space="preserve">Запровадити регулярну участь Комітету у робочих групах з розробки </w:t>
      </w:r>
      <w:proofErr w:type="spellStart"/>
      <w:r w:rsidRPr="00594F8E">
        <w:t>законопроєктів</w:t>
      </w:r>
      <w:proofErr w:type="spellEnd"/>
      <w:r w:rsidRPr="00594F8E">
        <w:t xml:space="preserve"> у сфері кримінальної юстиції.</w:t>
      </w:r>
    </w:p>
    <w:p w14:paraId="7E00210E" w14:textId="77777777" w:rsidR="00594F8E" w:rsidRPr="00594F8E" w:rsidRDefault="00594F8E" w:rsidP="00594F8E">
      <w:pPr>
        <w:numPr>
          <w:ilvl w:val="0"/>
          <w:numId w:val="4"/>
        </w:numPr>
        <w:jc w:val="both"/>
      </w:pPr>
      <w:r w:rsidRPr="00594F8E">
        <w:t xml:space="preserve">Формувати </w:t>
      </w:r>
      <w:proofErr w:type="spellStart"/>
      <w:r w:rsidRPr="00594F8E">
        <w:t>проактивні</w:t>
      </w:r>
      <w:proofErr w:type="spellEnd"/>
      <w:r w:rsidRPr="00594F8E">
        <w:t xml:space="preserve"> ініціативи, спрямовані на дотримання прав і свобод учасників кримінального провадження та розвиток сучасних стандартів правозастосування.</w:t>
      </w:r>
    </w:p>
    <w:p w14:paraId="59C07FFF" w14:textId="0CBFF507" w:rsidR="00594F8E" w:rsidRPr="00594F8E" w:rsidRDefault="00594F8E" w:rsidP="00594F8E">
      <w:pPr>
        <w:pStyle w:val="a4"/>
        <w:numPr>
          <w:ilvl w:val="0"/>
          <w:numId w:val="5"/>
        </w:numPr>
        <w:jc w:val="both"/>
        <w:rPr>
          <w:b/>
          <w:bCs/>
        </w:rPr>
      </w:pPr>
      <w:r w:rsidRPr="00594F8E">
        <w:rPr>
          <w:b/>
          <w:bCs/>
        </w:rPr>
        <w:t xml:space="preserve">Розширення </w:t>
      </w:r>
      <w:proofErr w:type="spellStart"/>
      <w:r w:rsidRPr="00594F8E">
        <w:rPr>
          <w:b/>
          <w:bCs/>
        </w:rPr>
        <w:t>партнерств</w:t>
      </w:r>
      <w:proofErr w:type="spellEnd"/>
      <w:r w:rsidRPr="00594F8E">
        <w:rPr>
          <w:b/>
          <w:bCs/>
        </w:rPr>
        <w:t xml:space="preserve"> та професійної взаємодії</w:t>
      </w:r>
    </w:p>
    <w:p w14:paraId="48FB331A" w14:textId="77777777" w:rsidR="00594F8E" w:rsidRPr="00594F8E" w:rsidRDefault="00594F8E" w:rsidP="00594F8E">
      <w:pPr>
        <w:ind w:left="708"/>
        <w:jc w:val="both"/>
      </w:pPr>
      <w:r w:rsidRPr="00594F8E">
        <w:t>Комітет має стати відкритою платформою для співпраці між усіма учасниками системи кримінальної юстиції.</w:t>
      </w:r>
    </w:p>
    <w:p w14:paraId="3AB6F836" w14:textId="25C30294" w:rsidR="00594F8E" w:rsidRPr="00594F8E" w:rsidRDefault="00594F8E" w:rsidP="00594F8E">
      <w:pPr>
        <w:numPr>
          <w:ilvl w:val="0"/>
          <w:numId w:val="6"/>
        </w:numPr>
        <w:jc w:val="both"/>
      </w:pPr>
      <w:r w:rsidRPr="00594F8E">
        <w:t xml:space="preserve">Поглибити діалог між АПУ та системою кримінальної юстиції </w:t>
      </w:r>
      <w:r w:rsidR="00547A33" w:rsidRPr="00FA7AFB">
        <w:t>–</w:t>
      </w:r>
      <w:r w:rsidRPr="00594F8E">
        <w:t xml:space="preserve"> суддями, прокурорами, слідчими, адвокатами</w:t>
      </w:r>
      <w:r w:rsidR="00547A33">
        <w:t xml:space="preserve"> </w:t>
      </w:r>
      <w:r w:rsidR="00547A33" w:rsidRPr="00FA7AFB">
        <w:t>–</w:t>
      </w:r>
      <w:r w:rsidRPr="00594F8E">
        <w:t xml:space="preserve"> щодо змін у законодавстві та актуальних правозастосовних проблем.</w:t>
      </w:r>
    </w:p>
    <w:p w14:paraId="185CFBF9" w14:textId="77777777" w:rsidR="00594F8E" w:rsidRPr="00594F8E" w:rsidRDefault="00594F8E" w:rsidP="00594F8E">
      <w:pPr>
        <w:numPr>
          <w:ilvl w:val="0"/>
          <w:numId w:val="6"/>
        </w:numPr>
        <w:jc w:val="both"/>
      </w:pPr>
      <w:r w:rsidRPr="00594F8E">
        <w:t>Розвивати студентські та молодіжні ініціативи Комітету: проводити лекції, дискусії, конкурси, а також посилити співпрацю з університетами.</w:t>
      </w:r>
    </w:p>
    <w:p w14:paraId="423B3674" w14:textId="3EEAC27E" w:rsidR="00594F8E" w:rsidRPr="00594F8E" w:rsidRDefault="00594F8E" w:rsidP="00594F8E">
      <w:pPr>
        <w:numPr>
          <w:ilvl w:val="0"/>
          <w:numId w:val="6"/>
        </w:numPr>
        <w:jc w:val="both"/>
      </w:pPr>
      <w:r w:rsidRPr="00594F8E">
        <w:t>Розширювати партнерство з держорганами та інституціями, зокрема Офісом Генерального прокурора, Бізнес-омбудсменом, міжнародними організаціями та бізнес-асоціаціями (зокрема ACC</w:t>
      </w:r>
      <w:r w:rsidRPr="00645EA8">
        <w:t xml:space="preserve">, ЕВА </w:t>
      </w:r>
      <w:r w:rsidRPr="00594F8E">
        <w:t>та іншими).</w:t>
      </w:r>
    </w:p>
    <w:p w14:paraId="74A4E66A" w14:textId="77777777" w:rsidR="00594F8E" w:rsidRPr="00594F8E" w:rsidRDefault="00594F8E" w:rsidP="00594F8E">
      <w:pPr>
        <w:numPr>
          <w:ilvl w:val="0"/>
          <w:numId w:val="6"/>
        </w:numPr>
        <w:jc w:val="both"/>
      </w:pPr>
      <w:r w:rsidRPr="00594F8E">
        <w:t>Підтримувати участь Комітету у зовнішніх експертних платформах для формування єдиної позиції юристів щодо розвитку кримінального процесу.</w:t>
      </w:r>
    </w:p>
    <w:p w14:paraId="75286E62" w14:textId="79A2164A" w:rsidR="00594F8E" w:rsidRPr="00594F8E" w:rsidRDefault="00594F8E" w:rsidP="00594F8E">
      <w:pPr>
        <w:jc w:val="both"/>
      </w:pPr>
    </w:p>
    <w:p w14:paraId="2B1FABCD" w14:textId="0B8449D1" w:rsidR="00594F8E" w:rsidRPr="00645EA8" w:rsidRDefault="00594F8E" w:rsidP="00645EA8">
      <w:pPr>
        <w:pStyle w:val="a4"/>
        <w:numPr>
          <w:ilvl w:val="0"/>
          <w:numId w:val="5"/>
        </w:numPr>
        <w:jc w:val="both"/>
        <w:rPr>
          <w:b/>
          <w:bCs/>
        </w:rPr>
      </w:pPr>
      <w:r w:rsidRPr="00645EA8">
        <w:rPr>
          <w:b/>
          <w:bCs/>
        </w:rPr>
        <w:t>Підвищення якості заходів та експертної активності Комітету</w:t>
      </w:r>
    </w:p>
    <w:p w14:paraId="790E973C" w14:textId="77777777" w:rsidR="00594F8E" w:rsidRPr="00594F8E" w:rsidRDefault="00594F8E" w:rsidP="00645EA8">
      <w:pPr>
        <w:ind w:firstLine="708"/>
        <w:jc w:val="both"/>
      </w:pPr>
      <w:r w:rsidRPr="00594F8E">
        <w:t>Комітет має забезпечити сучасну, змістовну та дійсно корисну експертну діяльність.</w:t>
      </w:r>
    </w:p>
    <w:p w14:paraId="2E3DE2E3" w14:textId="77777777" w:rsidR="00594F8E" w:rsidRPr="00594F8E" w:rsidRDefault="00594F8E" w:rsidP="00594F8E">
      <w:pPr>
        <w:numPr>
          <w:ilvl w:val="0"/>
          <w:numId w:val="7"/>
        </w:numPr>
        <w:jc w:val="both"/>
      </w:pPr>
      <w:r w:rsidRPr="00594F8E">
        <w:lastRenderedPageBreak/>
        <w:t>Залучати ширше коло високопрофесійних експертів, включаючи представників судової влади, правоохоронних органів, науковців та міжнародних консультантів.</w:t>
      </w:r>
    </w:p>
    <w:p w14:paraId="1735EB58" w14:textId="77777777" w:rsidR="00594F8E" w:rsidRPr="00594F8E" w:rsidRDefault="00594F8E" w:rsidP="00594F8E">
      <w:pPr>
        <w:numPr>
          <w:ilvl w:val="0"/>
          <w:numId w:val="7"/>
        </w:numPr>
        <w:jc w:val="both"/>
      </w:pPr>
      <w:r w:rsidRPr="00594F8E">
        <w:t>Збільшити кількість комітетських заходів, забезпечивши тематичну різноманітність та актуальність.</w:t>
      </w:r>
    </w:p>
    <w:p w14:paraId="0A925062" w14:textId="77777777" w:rsidR="00594F8E" w:rsidRDefault="00594F8E" w:rsidP="00594F8E">
      <w:pPr>
        <w:numPr>
          <w:ilvl w:val="0"/>
          <w:numId w:val="7"/>
        </w:numPr>
        <w:jc w:val="both"/>
      </w:pPr>
      <w:r w:rsidRPr="00594F8E">
        <w:t>Проводити спільні події з іншими Комітетами АПУ, зокрема у регіонах, щоб розширювати аудиторію та підсилювати міждисциплінарну експертизу.</w:t>
      </w:r>
    </w:p>
    <w:p w14:paraId="21E21375" w14:textId="29C7F713" w:rsidR="004346BE" w:rsidRPr="00594F8E" w:rsidRDefault="004346BE" w:rsidP="00594F8E">
      <w:pPr>
        <w:numPr>
          <w:ilvl w:val="0"/>
          <w:numId w:val="7"/>
        </w:numPr>
        <w:jc w:val="both"/>
      </w:pPr>
      <w:r>
        <w:t>З</w:t>
      </w:r>
      <w:r w:rsidRPr="004346BE">
        <w:t>апусти</w:t>
      </w:r>
      <w:r>
        <w:t>ти</w:t>
      </w:r>
      <w:r w:rsidRPr="004346BE">
        <w:t xml:space="preserve"> Робочу групу з цифрових технологій у кримінальному процесі з фокусом на електронні докази, OSINT, аналіз даних правоохоронців та застосування штучного інтелекту у доказуванні.</w:t>
      </w:r>
    </w:p>
    <w:p w14:paraId="58099EAC" w14:textId="77777777" w:rsidR="00645EA8" w:rsidRPr="00645EA8" w:rsidRDefault="00645EA8" w:rsidP="00645EA8">
      <w:pPr>
        <w:ind w:left="720"/>
        <w:jc w:val="both"/>
      </w:pPr>
    </w:p>
    <w:p w14:paraId="3D99E7F4" w14:textId="255F5795" w:rsidR="00594F8E" w:rsidRPr="00645EA8" w:rsidRDefault="00594F8E" w:rsidP="00544997">
      <w:pPr>
        <w:pStyle w:val="a4"/>
        <w:numPr>
          <w:ilvl w:val="0"/>
          <w:numId w:val="5"/>
        </w:numPr>
        <w:spacing w:before="0"/>
        <w:jc w:val="both"/>
        <w:rPr>
          <w:b/>
          <w:bCs/>
        </w:rPr>
      </w:pPr>
      <w:r w:rsidRPr="00645EA8">
        <w:rPr>
          <w:b/>
          <w:bCs/>
        </w:rPr>
        <w:t>“Кримінальна юстиція 2030”: аналітичний прогнозний звіт</w:t>
      </w:r>
    </w:p>
    <w:p w14:paraId="546461D8" w14:textId="324F5F77" w:rsidR="00594F8E" w:rsidRPr="00594F8E" w:rsidRDefault="00645EA8" w:rsidP="00544997">
      <w:pPr>
        <w:spacing w:before="0"/>
        <w:ind w:left="708"/>
        <w:jc w:val="both"/>
      </w:pPr>
      <w:r w:rsidRPr="00594F8E">
        <w:t xml:space="preserve">Це позиціонує Комітет як </w:t>
      </w:r>
      <w:proofErr w:type="spellStart"/>
      <w:r w:rsidRPr="00594F8E">
        <w:t>think</w:t>
      </w:r>
      <w:proofErr w:type="spellEnd"/>
      <w:r w:rsidRPr="00594F8E">
        <w:t xml:space="preserve"> </w:t>
      </w:r>
      <w:proofErr w:type="spellStart"/>
      <w:r w:rsidRPr="00594F8E">
        <w:t>tank</w:t>
      </w:r>
      <w:proofErr w:type="spellEnd"/>
      <w:r w:rsidRPr="00594F8E">
        <w:t>, а не просто організатора заходів</w:t>
      </w:r>
      <w:r w:rsidRPr="00645EA8">
        <w:t>.</w:t>
      </w:r>
      <w:r>
        <w:t xml:space="preserve"> </w:t>
      </w:r>
      <w:r w:rsidR="00594F8E" w:rsidRPr="00594F8E">
        <w:t>Щорічний стратегічний огляд трендів:</w:t>
      </w:r>
    </w:p>
    <w:p w14:paraId="2A0A6C05" w14:textId="77777777" w:rsidR="00594F8E" w:rsidRPr="00594F8E" w:rsidRDefault="00594F8E" w:rsidP="00544997">
      <w:pPr>
        <w:numPr>
          <w:ilvl w:val="0"/>
          <w:numId w:val="8"/>
        </w:numPr>
        <w:tabs>
          <w:tab w:val="num" w:pos="720"/>
        </w:tabs>
        <w:spacing w:before="0"/>
        <w:jc w:val="both"/>
      </w:pPr>
      <w:r w:rsidRPr="00594F8E">
        <w:t>цифрові докази;</w:t>
      </w:r>
    </w:p>
    <w:p w14:paraId="6CDEB968" w14:textId="150AAC0A" w:rsidR="00594F8E" w:rsidRPr="00594F8E" w:rsidRDefault="00645EA8" w:rsidP="00544997">
      <w:pPr>
        <w:numPr>
          <w:ilvl w:val="0"/>
          <w:numId w:val="8"/>
        </w:numPr>
        <w:tabs>
          <w:tab w:val="num" w:pos="720"/>
        </w:tabs>
        <w:spacing w:before="0"/>
        <w:jc w:val="both"/>
      </w:pPr>
      <w:r>
        <w:t xml:space="preserve">ШІ </w:t>
      </w:r>
      <w:r w:rsidR="00594F8E" w:rsidRPr="00594F8E">
        <w:t>у кримінальному процесі;</w:t>
      </w:r>
    </w:p>
    <w:p w14:paraId="377BB076" w14:textId="77777777" w:rsidR="00594F8E" w:rsidRPr="00594F8E" w:rsidRDefault="00594F8E" w:rsidP="00544997">
      <w:pPr>
        <w:numPr>
          <w:ilvl w:val="0"/>
          <w:numId w:val="8"/>
        </w:numPr>
        <w:tabs>
          <w:tab w:val="num" w:pos="720"/>
        </w:tabs>
        <w:spacing w:before="0"/>
        <w:jc w:val="both"/>
      </w:pPr>
      <w:r w:rsidRPr="00594F8E">
        <w:t>трансформація роботи БЕБ/ДБР;</w:t>
      </w:r>
    </w:p>
    <w:p w14:paraId="1F2D6514" w14:textId="77777777" w:rsidR="00594F8E" w:rsidRPr="00594F8E" w:rsidRDefault="00594F8E" w:rsidP="00544997">
      <w:pPr>
        <w:numPr>
          <w:ilvl w:val="0"/>
          <w:numId w:val="8"/>
        </w:numPr>
        <w:tabs>
          <w:tab w:val="num" w:pos="720"/>
        </w:tabs>
        <w:spacing w:before="0"/>
        <w:jc w:val="both"/>
      </w:pPr>
      <w:r w:rsidRPr="00594F8E">
        <w:t xml:space="preserve">вплив </w:t>
      </w:r>
      <w:proofErr w:type="spellStart"/>
      <w:r w:rsidRPr="00594F8E">
        <w:t>санкційних</w:t>
      </w:r>
      <w:proofErr w:type="spellEnd"/>
      <w:r w:rsidRPr="00594F8E">
        <w:t xml:space="preserve"> режимів;</w:t>
      </w:r>
    </w:p>
    <w:p w14:paraId="2B8B6B50" w14:textId="77777777" w:rsidR="00594F8E" w:rsidRPr="00594F8E" w:rsidRDefault="00594F8E" w:rsidP="00544997">
      <w:pPr>
        <w:numPr>
          <w:ilvl w:val="0"/>
          <w:numId w:val="8"/>
        </w:numPr>
        <w:tabs>
          <w:tab w:val="num" w:pos="720"/>
        </w:tabs>
        <w:spacing w:before="0"/>
        <w:jc w:val="both"/>
      </w:pPr>
      <w:r w:rsidRPr="00594F8E">
        <w:t>євроінтеграційні вимоги до КПК.</w:t>
      </w:r>
    </w:p>
    <w:p w14:paraId="1172EA03" w14:textId="2A0E29AE" w:rsidR="00594F8E" w:rsidRPr="00594F8E" w:rsidRDefault="00594F8E" w:rsidP="00544997">
      <w:pPr>
        <w:spacing w:before="0"/>
        <w:jc w:val="both"/>
      </w:pPr>
    </w:p>
    <w:p w14:paraId="008842CB" w14:textId="2FC4C500" w:rsidR="00594F8E" w:rsidRDefault="00594F8E" w:rsidP="00544997">
      <w:pPr>
        <w:pStyle w:val="a4"/>
        <w:numPr>
          <w:ilvl w:val="0"/>
          <w:numId w:val="5"/>
        </w:numPr>
        <w:spacing w:before="0"/>
        <w:jc w:val="both"/>
        <w:rPr>
          <w:b/>
          <w:bCs/>
        </w:rPr>
      </w:pPr>
      <w:r w:rsidRPr="00645EA8">
        <w:rPr>
          <w:b/>
          <w:bCs/>
        </w:rPr>
        <w:t>Платформа “Правозастосування для бізнесу”</w:t>
      </w:r>
    </w:p>
    <w:p w14:paraId="6EFF3D3F" w14:textId="77777777" w:rsidR="00645EA8" w:rsidRPr="00645EA8" w:rsidRDefault="00645EA8" w:rsidP="00544997">
      <w:pPr>
        <w:pStyle w:val="a4"/>
        <w:spacing w:before="0"/>
        <w:jc w:val="both"/>
        <w:rPr>
          <w:b/>
          <w:bCs/>
        </w:rPr>
      </w:pPr>
    </w:p>
    <w:p w14:paraId="06772716" w14:textId="73959120" w:rsidR="00594F8E" w:rsidRPr="00594F8E" w:rsidRDefault="00645EA8" w:rsidP="00544997">
      <w:pPr>
        <w:pStyle w:val="a4"/>
        <w:spacing w:before="0"/>
        <w:jc w:val="both"/>
      </w:pPr>
      <w:r w:rsidRPr="00645EA8">
        <w:t>Комітет стає джерелом уніфікованих стандартів для ринку.</w:t>
      </w:r>
      <w:r>
        <w:rPr>
          <w:b/>
          <w:bCs/>
        </w:rPr>
        <w:t xml:space="preserve"> </w:t>
      </w:r>
      <w:r w:rsidR="00594F8E" w:rsidRPr="00594F8E">
        <w:t>Запуск серії практичних продуктів:</w:t>
      </w:r>
    </w:p>
    <w:p w14:paraId="24233975" w14:textId="77777777" w:rsidR="00594F8E" w:rsidRPr="00594F8E" w:rsidRDefault="00594F8E" w:rsidP="00544997">
      <w:pPr>
        <w:numPr>
          <w:ilvl w:val="0"/>
          <w:numId w:val="9"/>
        </w:numPr>
        <w:tabs>
          <w:tab w:val="num" w:pos="720"/>
        </w:tabs>
        <w:spacing w:before="0"/>
        <w:jc w:val="both"/>
      </w:pPr>
      <w:r w:rsidRPr="00594F8E">
        <w:t>алгоритми дій під час обшуку;</w:t>
      </w:r>
    </w:p>
    <w:p w14:paraId="766000E5" w14:textId="77777777" w:rsidR="00594F8E" w:rsidRPr="00594F8E" w:rsidRDefault="00594F8E" w:rsidP="00544997">
      <w:pPr>
        <w:numPr>
          <w:ilvl w:val="0"/>
          <w:numId w:val="9"/>
        </w:numPr>
        <w:tabs>
          <w:tab w:val="num" w:pos="720"/>
        </w:tabs>
        <w:spacing w:before="0"/>
        <w:jc w:val="both"/>
      </w:pPr>
      <w:proofErr w:type="spellStart"/>
      <w:r w:rsidRPr="00594F8E">
        <w:t>чеклісти</w:t>
      </w:r>
      <w:proofErr w:type="spellEnd"/>
      <w:r w:rsidRPr="00594F8E">
        <w:t xml:space="preserve"> для юристів;</w:t>
      </w:r>
    </w:p>
    <w:p w14:paraId="5C0F455E" w14:textId="77777777" w:rsidR="00594F8E" w:rsidRPr="00594F8E" w:rsidRDefault="00594F8E" w:rsidP="00544997">
      <w:pPr>
        <w:numPr>
          <w:ilvl w:val="0"/>
          <w:numId w:val="9"/>
        </w:numPr>
        <w:tabs>
          <w:tab w:val="num" w:pos="720"/>
        </w:tabs>
        <w:spacing w:before="0"/>
        <w:jc w:val="both"/>
      </w:pPr>
      <w:proofErr w:type="spellStart"/>
      <w:r w:rsidRPr="00594F8E">
        <w:t>кейсбуки</w:t>
      </w:r>
      <w:proofErr w:type="spellEnd"/>
      <w:r w:rsidRPr="00594F8E">
        <w:t xml:space="preserve"> на складні питання КПК;</w:t>
      </w:r>
    </w:p>
    <w:p w14:paraId="50E5063B" w14:textId="77777777" w:rsidR="00594F8E" w:rsidRPr="00594F8E" w:rsidRDefault="00594F8E" w:rsidP="00544997">
      <w:pPr>
        <w:numPr>
          <w:ilvl w:val="0"/>
          <w:numId w:val="9"/>
        </w:numPr>
        <w:tabs>
          <w:tab w:val="num" w:pos="720"/>
        </w:tabs>
        <w:spacing w:before="0"/>
        <w:jc w:val="both"/>
      </w:pPr>
      <w:r w:rsidRPr="00594F8E">
        <w:t>щоквартальні огляди практики правоохоронних органів.</w:t>
      </w:r>
    </w:p>
    <w:p w14:paraId="38745504" w14:textId="5BD58B12" w:rsidR="00594F8E" w:rsidRPr="00594F8E" w:rsidRDefault="00645EA8" w:rsidP="00544997">
      <w:pPr>
        <w:spacing w:before="0"/>
        <w:jc w:val="both"/>
      </w:pPr>
      <w:r>
        <w:rPr>
          <w:b/>
          <w:bCs/>
        </w:rPr>
        <w:t xml:space="preserve"> </w:t>
      </w:r>
    </w:p>
    <w:p w14:paraId="10A001DA" w14:textId="2DBC66E9" w:rsidR="00594F8E" w:rsidRPr="00645EA8" w:rsidRDefault="00594F8E" w:rsidP="00544997">
      <w:pPr>
        <w:pStyle w:val="a4"/>
        <w:numPr>
          <w:ilvl w:val="0"/>
          <w:numId w:val="5"/>
        </w:numPr>
        <w:spacing w:before="0"/>
        <w:jc w:val="both"/>
        <w:rPr>
          <w:b/>
          <w:bCs/>
        </w:rPr>
      </w:pPr>
      <w:r w:rsidRPr="00645EA8">
        <w:rPr>
          <w:b/>
          <w:bCs/>
        </w:rPr>
        <w:t>Запуск “Школи кримінального процесу АПУ”</w:t>
      </w:r>
    </w:p>
    <w:p w14:paraId="6573B453" w14:textId="6C2F4A4D" w:rsidR="00594F8E" w:rsidRPr="00594F8E" w:rsidRDefault="00645EA8" w:rsidP="00544997">
      <w:pPr>
        <w:spacing w:before="0"/>
        <w:ind w:firstLine="708"/>
        <w:jc w:val="both"/>
      </w:pPr>
      <w:r w:rsidRPr="00594F8E">
        <w:t xml:space="preserve">Новий рівень освітніх продуктів — не просто </w:t>
      </w:r>
      <w:proofErr w:type="spellStart"/>
      <w:r w:rsidRPr="00594F8E">
        <w:t>вебінари</w:t>
      </w:r>
      <w:proofErr w:type="spellEnd"/>
      <w:r w:rsidRPr="00594F8E">
        <w:t>.</w:t>
      </w:r>
      <w:r>
        <w:rPr>
          <w:b/>
          <w:bCs/>
        </w:rPr>
        <w:t xml:space="preserve"> </w:t>
      </w:r>
      <w:r w:rsidR="00594F8E" w:rsidRPr="00594F8E">
        <w:t>8–10 модулів, включаючи:</w:t>
      </w:r>
    </w:p>
    <w:p w14:paraId="22D9D3D5" w14:textId="77777777" w:rsidR="00594F8E" w:rsidRPr="00594F8E" w:rsidRDefault="00594F8E" w:rsidP="00544997">
      <w:pPr>
        <w:numPr>
          <w:ilvl w:val="0"/>
          <w:numId w:val="11"/>
        </w:numPr>
        <w:spacing w:before="0"/>
        <w:jc w:val="both"/>
      </w:pPr>
      <w:r w:rsidRPr="00594F8E">
        <w:t>докази;</w:t>
      </w:r>
    </w:p>
    <w:p w14:paraId="19A059A3" w14:textId="77777777" w:rsidR="00594F8E" w:rsidRPr="00594F8E" w:rsidRDefault="00594F8E" w:rsidP="00544997">
      <w:pPr>
        <w:numPr>
          <w:ilvl w:val="0"/>
          <w:numId w:val="11"/>
        </w:numPr>
        <w:spacing w:before="0"/>
        <w:jc w:val="both"/>
      </w:pPr>
      <w:r w:rsidRPr="00594F8E">
        <w:t>економічні злочини;</w:t>
      </w:r>
    </w:p>
    <w:p w14:paraId="379B9217" w14:textId="77777777" w:rsidR="00594F8E" w:rsidRPr="00594F8E" w:rsidRDefault="00594F8E" w:rsidP="00544997">
      <w:pPr>
        <w:numPr>
          <w:ilvl w:val="0"/>
          <w:numId w:val="11"/>
        </w:numPr>
        <w:spacing w:before="0"/>
        <w:jc w:val="both"/>
      </w:pPr>
      <w:r w:rsidRPr="00594F8E">
        <w:t>переговори з правоохоронцями;</w:t>
      </w:r>
    </w:p>
    <w:p w14:paraId="664047F5" w14:textId="77777777" w:rsidR="00594F8E" w:rsidRPr="00594F8E" w:rsidRDefault="00594F8E" w:rsidP="00544997">
      <w:pPr>
        <w:numPr>
          <w:ilvl w:val="0"/>
          <w:numId w:val="11"/>
        </w:numPr>
        <w:spacing w:before="0"/>
        <w:jc w:val="both"/>
      </w:pPr>
      <w:r w:rsidRPr="00594F8E">
        <w:t>санкції;</w:t>
      </w:r>
    </w:p>
    <w:p w14:paraId="4B156668" w14:textId="77777777" w:rsidR="00594F8E" w:rsidRPr="00594F8E" w:rsidRDefault="00594F8E" w:rsidP="00544997">
      <w:pPr>
        <w:numPr>
          <w:ilvl w:val="0"/>
          <w:numId w:val="11"/>
        </w:numPr>
        <w:spacing w:before="0"/>
        <w:jc w:val="both"/>
      </w:pPr>
      <w:r w:rsidRPr="00594F8E">
        <w:t>міжнародна правова допомога.</w:t>
      </w:r>
    </w:p>
    <w:p w14:paraId="0F068CE9" w14:textId="3778E6E6" w:rsidR="00594F8E" w:rsidRPr="00594F8E" w:rsidRDefault="00594F8E" w:rsidP="00544997">
      <w:pPr>
        <w:spacing w:before="0"/>
        <w:jc w:val="both"/>
      </w:pPr>
    </w:p>
    <w:p w14:paraId="3A5AC3C6" w14:textId="456B6B1E" w:rsidR="006B0DF0" w:rsidRPr="00652AD2" w:rsidRDefault="006B0DF0" w:rsidP="00652AD2">
      <w:pPr>
        <w:pStyle w:val="a4"/>
        <w:ind w:left="567"/>
        <w:contextualSpacing w:val="0"/>
        <w:jc w:val="both"/>
      </w:pPr>
    </w:p>
    <w:p w14:paraId="07E5612E" w14:textId="27A8030E" w:rsidR="00652AD2" w:rsidRPr="00652AD2" w:rsidRDefault="00652AD2" w:rsidP="00652AD2">
      <w:pPr>
        <w:pStyle w:val="a3"/>
        <w:spacing w:before="0" w:beforeAutospacing="0" w:after="160" w:afterAutospacing="0"/>
        <w:jc w:val="both"/>
        <w:rPr>
          <w:rFonts w:ascii="Cambria" w:hAnsi="Cambria"/>
        </w:rPr>
      </w:pPr>
      <w:r w:rsidRPr="00652AD2">
        <w:rPr>
          <w:rFonts w:ascii="Cambria" w:hAnsi="Cambria" w:cs="Calibri"/>
          <w:color w:val="000000"/>
          <w:sz w:val="22"/>
          <w:szCs w:val="22"/>
        </w:rPr>
        <w:t>З поваго</w:t>
      </w:r>
      <w:r>
        <w:rPr>
          <w:rFonts w:ascii="Cambria" w:hAnsi="Cambria" w:cs="Calibri"/>
          <w:color w:val="000000"/>
          <w:sz w:val="22"/>
          <w:szCs w:val="22"/>
        </w:rPr>
        <w:t>ю</w:t>
      </w:r>
      <w:r w:rsidRPr="00652AD2">
        <w:rPr>
          <w:rFonts w:ascii="Cambria" w:hAnsi="Cambria" w:cs="Calibri"/>
          <w:color w:val="000000"/>
          <w:sz w:val="22"/>
          <w:szCs w:val="22"/>
        </w:rPr>
        <w:t xml:space="preserve">, </w:t>
      </w:r>
    </w:p>
    <w:p w14:paraId="05CDD185" w14:textId="5B4583E2" w:rsidR="00652AD2" w:rsidRPr="00652AD2" w:rsidRDefault="00652AD2" w:rsidP="00652AD2">
      <w:pPr>
        <w:pStyle w:val="a3"/>
        <w:spacing w:before="0" w:beforeAutospacing="0" w:after="160" w:afterAutospacing="0"/>
        <w:jc w:val="both"/>
        <w:rPr>
          <w:rFonts w:ascii="Cambria" w:hAnsi="Cambria"/>
          <w:b/>
          <w:bCs/>
        </w:rPr>
      </w:pPr>
      <w:r w:rsidRPr="00652AD2">
        <w:rPr>
          <w:rFonts w:ascii="Cambria" w:hAnsi="Cambria" w:cs="Calibri"/>
          <w:b/>
          <w:bCs/>
          <w:color w:val="000000"/>
          <w:sz w:val="22"/>
          <w:szCs w:val="22"/>
        </w:rPr>
        <w:t xml:space="preserve">Сергій Бойко </w:t>
      </w:r>
    </w:p>
    <w:p w14:paraId="43EB8A72" w14:textId="660517CA" w:rsidR="00652AD2" w:rsidRPr="00652AD2" w:rsidRDefault="00652AD2" w:rsidP="00652AD2">
      <w:pPr>
        <w:pStyle w:val="a3"/>
        <w:spacing w:before="0" w:beforeAutospacing="0" w:after="160" w:afterAutospacing="0"/>
        <w:jc w:val="both"/>
        <w:rPr>
          <w:rFonts w:ascii="Cambria" w:hAnsi="Cambria"/>
          <w:b/>
          <w:bCs/>
        </w:rPr>
      </w:pPr>
      <w:r w:rsidRPr="00652AD2">
        <w:rPr>
          <w:rFonts w:ascii="Cambria" w:hAnsi="Cambria" w:cs="Calibri"/>
          <w:b/>
          <w:bCs/>
          <w:color w:val="000000"/>
          <w:sz w:val="22"/>
          <w:szCs w:val="22"/>
        </w:rPr>
        <w:t xml:space="preserve">Адвокат, </w:t>
      </w:r>
      <w:r w:rsidR="00FA7AFB">
        <w:rPr>
          <w:rFonts w:ascii="Cambria" w:hAnsi="Cambria" w:cs="Calibri"/>
          <w:b/>
          <w:bCs/>
          <w:color w:val="000000"/>
          <w:sz w:val="22"/>
          <w:szCs w:val="22"/>
        </w:rPr>
        <w:t>партнер</w:t>
      </w:r>
      <w:r w:rsidRPr="00652AD2">
        <w:rPr>
          <w:rFonts w:ascii="Cambria" w:hAnsi="Cambria" w:cs="Calibri"/>
          <w:b/>
          <w:bCs/>
          <w:color w:val="000000"/>
          <w:sz w:val="22"/>
          <w:szCs w:val="22"/>
        </w:rPr>
        <w:t xml:space="preserve"> Адвокатського об’єднання «ВБ </w:t>
      </w:r>
      <w:proofErr w:type="spellStart"/>
      <w:r w:rsidRPr="00652AD2">
        <w:rPr>
          <w:rFonts w:ascii="Cambria" w:hAnsi="Cambria" w:cs="Calibri"/>
          <w:b/>
          <w:bCs/>
          <w:color w:val="000000"/>
          <w:sz w:val="22"/>
          <w:szCs w:val="22"/>
        </w:rPr>
        <w:t>Партнерс</w:t>
      </w:r>
      <w:proofErr w:type="spellEnd"/>
      <w:r w:rsidRPr="00652AD2">
        <w:rPr>
          <w:rFonts w:ascii="Cambria" w:hAnsi="Cambria" w:cs="Calibri"/>
          <w:b/>
          <w:bCs/>
          <w:color w:val="000000"/>
          <w:sz w:val="22"/>
          <w:szCs w:val="22"/>
        </w:rPr>
        <w:t>»</w:t>
      </w:r>
    </w:p>
    <w:p w14:paraId="57A8240A" w14:textId="77777777" w:rsidR="00652AD2" w:rsidRPr="00652AD2" w:rsidRDefault="00652AD2" w:rsidP="00652AD2">
      <w:pPr>
        <w:pStyle w:val="a4"/>
        <w:ind w:left="567"/>
        <w:contextualSpacing w:val="0"/>
        <w:jc w:val="both"/>
      </w:pPr>
    </w:p>
    <w:sectPr w:rsidR="00652AD2" w:rsidRPr="00652AD2" w:rsidSect="00FA7AFB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51B"/>
    <w:multiLevelType w:val="hybridMultilevel"/>
    <w:tmpl w:val="F946BF0C"/>
    <w:lvl w:ilvl="0" w:tplc="CAC0C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3571"/>
    <w:multiLevelType w:val="multilevel"/>
    <w:tmpl w:val="F106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B36C5"/>
    <w:multiLevelType w:val="hybridMultilevel"/>
    <w:tmpl w:val="9FA06D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F45703"/>
    <w:multiLevelType w:val="multilevel"/>
    <w:tmpl w:val="C476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11E03"/>
    <w:multiLevelType w:val="multilevel"/>
    <w:tmpl w:val="12CE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91418"/>
    <w:multiLevelType w:val="multilevel"/>
    <w:tmpl w:val="209693F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B1163"/>
    <w:multiLevelType w:val="multilevel"/>
    <w:tmpl w:val="64CC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41E6B"/>
    <w:multiLevelType w:val="multilevel"/>
    <w:tmpl w:val="67AA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6642B"/>
    <w:multiLevelType w:val="hybridMultilevel"/>
    <w:tmpl w:val="7DFA6C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C4C1F"/>
    <w:multiLevelType w:val="multilevel"/>
    <w:tmpl w:val="13CE333E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2210F"/>
    <w:multiLevelType w:val="multilevel"/>
    <w:tmpl w:val="0CCA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B26DA"/>
    <w:multiLevelType w:val="multilevel"/>
    <w:tmpl w:val="68E6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6F24ED"/>
    <w:multiLevelType w:val="multilevel"/>
    <w:tmpl w:val="7CA413A6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3F3199"/>
    <w:multiLevelType w:val="multilevel"/>
    <w:tmpl w:val="D04ED81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947F55"/>
    <w:multiLevelType w:val="multilevel"/>
    <w:tmpl w:val="8702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1433C6"/>
    <w:multiLevelType w:val="hybridMultilevel"/>
    <w:tmpl w:val="FFF4F3E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843B2D"/>
    <w:multiLevelType w:val="multilevel"/>
    <w:tmpl w:val="C5A61EF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num w:numId="1" w16cid:durableId="360253676">
    <w:abstractNumId w:val="0"/>
  </w:num>
  <w:num w:numId="2" w16cid:durableId="1560019716">
    <w:abstractNumId w:val="15"/>
  </w:num>
  <w:num w:numId="3" w16cid:durableId="2114855471">
    <w:abstractNumId w:val="2"/>
  </w:num>
  <w:num w:numId="4" w16cid:durableId="2004235922">
    <w:abstractNumId w:val="7"/>
  </w:num>
  <w:num w:numId="5" w16cid:durableId="1721049381">
    <w:abstractNumId w:val="8"/>
  </w:num>
  <w:num w:numId="6" w16cid:durableId="2147122056">
    <w:abstractNumId w:val="4"/>
  </w:num>
  <w:num w:numId="7" w16cid:durableId="2051608659">
    <w:abstractNumId w:val="14"/>
  </w:num>
  <w:num w:numId="8" w16cid:durableId="735468848">
    <w:abstractNumId w:val="16"/>
  </w:num>
  <w:num w:numId="9" w16cid:durableId="736978136">
    <w:abstractNumId w:val="5"/>
  </w:num>
  <w:num w:numId="10" w16cid:durableId="301927173">
    <w:abstractNumId w:val="1"/>
  </w:num>
  <w:num w:numId="11" w16cid:durableId="2104494826">
    <w:abstractNumId w:val="13"/>
  </w:num>
  <w:num w:numId="12" w16cid:durableId="378668629">
    <w:abstractNumId w:val="12"/>
  </w:num>
  <w:num w:numId="13" w16cid:durableId="2135126742">
    <w:abstractNumId w:val="3"/>
  </w:num>
  <w:num w:numId="14" w16cid:durableId="644698429">
    <w:abstractNumId w:val="9"/>
  </w:num>
  <w:num w:numId="15" w16cid:durableId="1551304378">
    <w:abstractNumId w:val="11"/>
  </w:num>
  <w:num w:numId="16" w16cid:durableId="679477439">
    <w:abstractNumId w:val="6"/>
  </w:num>
  <w:num w:numId="17" w16cid:durableId="1606841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A8"/>
    <w:rsid w:val="00013C65"/>
    <w:rsid w:val="00081341"/>
    <w:rsid w:val="0008547F"/>
    <w:rsid w:val="001B12FF"/>
    <w:rsid w:val="003D44B4"/>
    <w:rsid w:val="003F573F"/>
    <w:rsid w:val="004346BE"/>
    <w:rsid w:val="00462EA1"/>
    <w:rsid w:val="00542CFC"/>
    <w:rsid w:val="00544997"/>
    <w:rsid w:val="00547A33"/>
    <w:rsid w:val="00594F8E"/>
    <w:rsid w:val="00645EA8"/>
    <w:rsid w:val="00652AD2"/>
    <w:rsid w:val="00664EF9"/>
    <w:rsid w:val="0067667A"/>
    <w:rsid w:val="006B0DF0"/>
    <w:rsid w:val="00761640"/>
    <w:rsid w:val="008451CB"/>
    <w:rsid w:val="00975EB2"/>
    <w:rsid w:val="00AA3021"/>
    <w:rsid w:val="00B01DA0"/>
    <w:rsid w:val="00B23A97"/>
    <w:rsid w:val="00B341A8"/>
    <w:rsid w:val="00B636C2"/>
    <w:rsid w:val="00B84DA8"/>
    <w:rsid w:val="00D04049"/>
    <w:rsid w:val="00E2191C"/>
    <w:rsid w:val="00EF381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E929"/>
  <w15:chartTrackingRefBased/>
  <w15:docId w15:val="{3362FCAB-5111-46E5-953C-FBA9FC61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A0"/>
    <w:pPr>
      <w:spacing w:before="120" w:after="0" w:line="240" w:lineRule="auto"/>
    </w:pPr>
    <w:rPr>
      <w:rFonts w:ascii="Cambria" w:hAnsi="Cambria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636C2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5E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6C2"/>
    <w:rPr>
      <w:rFonts w:ascii="Cambria" w:eastAsiaTheme="majorEastAsia" w:hAnsi="Cambria" w:cstheme="majorBidi"/>
      <w:szCs w:val="32"/>
    </w:rPr>
  </w:style>
  <w:style w:type="character" w:customStyle="1" w:styleId="20">
    <w:name w:val="Заголовок 2 Знак"/>
    <w:basedOn w:val="a0"/>
    <w:link w:val="2"/>
    <w:uiPriority w:val="9"/>
    <w:rsid w:val="00975E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7eme">
    <w:name w:val="m7eme"/>
    <w:basedOn w:val="a0"/>
    <w:rsid w:val="0067667A"/>
  </w:style>
  <w:style w:type="paragraph" w:styleId="a3">
    <w:name w:val="Normal (Web)"/>
    <w:basedOn w:val="a"/>
    <w:uiPriority w:val="99"/>
    <w:unhideWhenUsed/>
    <w:rsid w:val="006766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21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2600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 </cp:lastModifiedBy>
  <cp:revision>2</cp:revision>
  <cp:lastPrinted>2025-11-28T08:08:00Z</cp:lastPrinted>
  <dcterms:created xsi:type="dcterms:W3CDTF">2025-11-28T08:38:00Z</dcterms:created>
  <dcterms:modified xsi:type="dcterms:W3CDTF">2025-11-28T08:38:00Z</dcterms:modified>
</cp:coreProperties>
</file>